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05" w:rsidRPr="00D71585" w:rsidRDefault="00247705" w:rsidP="00D71585">
      <w:pPr>
        <w:spacing w:after="0" w:line="240" w:lineRule="auto"/>
        <w:ind w:firstLine="708"/>
        <w:jc w:val="both"/>
        <w:rPr>
          <w:rFonts w:ascii="Microsoft YaHei" w:eastAsia="Microsoft YaHei" w:hAnsi="Microsoft YaHei" w:cs="Microsoft YaHei"/>
          <w:sz w:val="20"/>
          <w:szCs w:val="20"/>
          <w:lang w:val="hy-AM"/>
        </w:rPr>
      </w:pPr>
      <w:bookmarkStart w:id="0" w:name="_Hlk227090136"/>
      <w:r w:rsidRPr="00D71585">
        <w:rPr>
          <w:rFonts w:ascii="Sylfaen" w:hAnsi="Sylfaen" w:cs="Calibri"/>
          <w:sz w:val="20"/>
          <w:szCs w:val="20"/>
          <w:lang w:val="hy-AM"/>
        </w:rPr>
        <w:t>Վաճառքի ներկայացվող լոտի նկարագիրը հետևյալն է</w:t>
      </w:r>
      <w:r w:rsidRPr="00D71585">
        <w:rPr>
          <w:rFonts w:ascii="Microsoft YaHei" w:eastAsia="Microsoft YaHei" w:hAnsi="Microsoft YaHei" w:cs="Microsoft YaHei"/>
          <w:sz w:val="20"/>
          <w:szCs w:val="20"/>
          <w:lang w:val="hy-AM"/>
        </w:rPr>
        <w:t>․</w:t>
      </w:r>
    </w:p>
    <w:bookmarkEnd w:id="0"/>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Լոտ 9 – իր մեջ ներառում է «Քեթրին գրուպ» ՍՊԸ-ին սեփականության իրավունքով պատկանող՝ ք</w:t>
      </w:r>
      <w:r w:rsidRPr="00D71585">
        <w:rPr>
          <w:rFonts w:ascii="Times New Roman" w:eastAsia="Sylfaen" w:hAnsi="Times New Roman" w:cs="Times New Roman"/>
          <w:bCs/>
          <w:sz w:val="20"/>
          <w:szCs w:val="20"/>
          <w:lang w:val="hy-AM"/>
        </w:rPr>
        <w:t>․</w:t>
      </w:r>
      <w:r w:rsidRPr="00D71585">
        <w:rPr>
          <w:rFonts w:ascii="Sylfaen" w:eastAsia="Sylfaen" w:hAnsi="Sylfaen"/>
          <w:bCs/>
          <w:sz w:val="20"/>
          <w:szCs w:val="20"/>
          <w:lang w:val="hy-AM"/>
        </w:rPr>
        <w:t>Երևան, Շենգավիթ, Արշակունյաց փողոց 254 և ք</w:t>
      </w:r>
      <w:r w:rsidRPr="00D71585">
        <w:rPr>
          <w:rFonts w:ascii="Times New Roman" w:eastAsia="Sylfaen" w:hAnsi="Times New Roman" w:cs="Times New Roman"/>
          <w:bCs/>
          <w:sz w:val="20"/>
          <w:szCs w:val="20"/>
          <w:lang w:val="hy-AM"/>
        </w:rPr>
        <w:t>․</w:t>
      </w:r>
      <w:r w:rsidRPr="00D71585">
        <w:rPr>
          <w:rFonts w:ascii="Sylfaen" w:eastAsia="Sylfaen" w:hAnsi="Sylfaen"/>
          <w:bCs/>
          <w:sz w:val="20"/>
          <w:szCs w:val="20"/>
          <w:lang w:val="hy-AM"/>
        </w:rPr>
        <w:t>Երևան, Շենգավիթ, Արշակունյաց փողոց 254/1 հասցեներում գտնվող գույքերը, որոնք հանդիսանում են գրավի առարկա, որոնց նկարագիրը հետևյալն է.</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 xml:space="preserve">Երևան, Շենգավիթ Արշակունյաց փողոց 254 հասցեում գտնվող գույք /վկայականի թիվը՝ 03102017-01-0198, տրված՝ 03.10.2017թ./։ Գույքը «Քեթրին գրուպ» ՍՊԸ-ի սեփականությունն է։ Հողամասի նպատակային նշանակությունը՝ արդյունաբերության ընդերքօգտագործման և այլ արտադրական նշանակության, գործառնական նշանակությունը՝ արդյունաբերական օբյեկտների, մակերեսը՝  14020,8 քմ: Հողամասի վրա առկա են 13533,3 քմ մակերեսով շինություններ և 5692,8 քմ մակերեսով ինքնակամ շինություն: Շինությունների որոշ մասը գտնվում է Արշակունյաց փողոցի անմիջական հարևանությամբ, իսկ որոշ մասը՝ այդ շինությունների հետնամասում։ Արշակունյաց փողոցի կողմից շինությունը եռահարկ է, կառուցված երկաթբետոնյա կոնստրուկցիաներով, ճակատային մասը սրբատաշ քարով, տեղադրված </w:t>
      </w:r>
      <w:bookmarkStart w:id="1" w:name="_GoBack"/>
      <w:bookmarkEnd w:id="1"/>
      <w:r w:rsidRPr="00D71585">
        <w:rPr>
          <w:rFonts w:ascii="Sylfaen" w:eastAsia="Sylfaen" w:hAnsi="Sylfaen"/>
          <w:bCs/>
          <w:sz w:val="20"/>
          <w:szCs w:val="20"/>
          <w:lang w:val="hy-AM"/>
        </w:rPr>
        <w:t>են մետաղապլաստե և մետաղական պատուհաններ։ Շենքի աջակողմյան մասում շենքը հինգ հարկանի է։ Շենքի ձախակողմյան կես մասը առանց ներքին հարդարման է, իսկ աջակողմյան հատվածը նաև հինգ հարկանի մասը միջինից բարձր ներքին հարդարմամբ։ Արշակունյաց պողոտային ուղղահայաց շենքը երկհարկանի է, միջնամասում հինգ հարկանի, վերջնամասում եռահարկ, կառուցված է երկաթբետոնյա կոնստրուկցիաներով և տուֆ քարով։ Առաջին հարկը միջինից ցածր ներքին հարդարման վիճակում է, իսկ երկրորդ հարկում խոհանոցային հատվածն է, որը գտնվում է միջինից բարձր վիճակում՝ սալիկապատ հատակով, ներկած պատերով, կախովի առաստաղով, մետաղապլաստե պատուհաններով։ Մյուս հատվածը միջին վիճակում է։ Վերոնշյալ շինության երկու մասերի միջև գտնվում է բարձր առաստաղով երեք մասերի բաժանված արտադրատարածքներ /անգարներ/, որոնց ետնամասով ձգվում է ևս մեկ առանձնացված հատված /անգար/, կառուցված են երկաթբետոնյա կոնստրուկցիաներով, հավաքովի երկաթբետոնյա առաստաղով, պատերը քարերով և երկաթբետոնյա սալերով են, որոշ հատվածներում սվաղած, հատակը բետոնեսվաղ, առանց այլ ներքին հարդարման են։ Երեք հարակից անգարների տարածքով առկա է նկուղային հարկ՝ կառուցված բետոնյա կոնստրուկցիաներով։ Շենքերի տանիքները՝ մասամբ թիթեղյա, շիֆեր, հարթ, իսկ առաստաղի բարձրությունը՝ տարբեր հատվածներում 2.8-ից մինչև 13.8մ, իսկ վերանորոգման աստիճանը տարբեր մասերում տարբեր է՝ միջինից ցածր, միջին, միջինից բարձր։  Կից կառուցված է քարե կառույց, որը ավելի ուշ է կառուցված և առանց ներքին և արտաքին հարդարման է։ Անշարժ գույքը բազմաֆունկցիոնալ է, դրա տարբեր մասերը կարող են օգտագործվել տարբեր նպատակներով, այդ թվում՝ որպես վաճառասրահներ, արտադրամասեր, գրասենյակային տարածքներ, պահեստներ և այլն։ Անշարժ գույքի տարածքը ունի ավտոմեքենաների մուտք Արշակունյաց պողոտայի կողմից և վարչական մուտք՝ շենքի վարչական մասի կողմից։</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Երևան, Շենգավիթ Արշակունյաց փողոց 254/1 հասցեում գտնվող գույք /վկայականի թիվը՝ 03102017-01-0182 տրված 03.10.2017թ./։ Գույքը «Քեթրին գրուպ» ՍՊԸ-ի սեփականությունն է։ Հողամասի նպատակային նշանակությունը՝ արդյունաբերության ընդերքօգտագործման և այլ արտադրական նշանակության, գործառնական նշանակությունը՝ արդյունաբերական օբյեկտների, մակերեսը՝ 6658.5 քմ: Հողամասի վրա առկա են հետևյալ շենք-շինությունները՝  վարչաարտադրական շենք  2260.6 քմ /մասամբ արտադրական՝ եռահարկ, մասամբ՝ վարչական/, պահակատներ՝ 18քմ և 12.6քմ, կաթսայատուն՝ 288քմ,, արտադրամաս՝ 256քմ, օժանդակ շինություններ՝ 11.8քմ և 194.1քմ: Շինություններն օգտագործվում են /կամ կարող են օգտագործվել/ արտադրական, պահեստային, առևտրային և այլ նպատակներով։ Շենք-շինությունների տանիքները՝ մասամբ թիթեղյա, շիֆեր, հարթ, իսկ առաստաղի բարձրությունը՝ տարբեր հատվածներում 2.2-ից մինչև 7մ, իսկ վերանորոգման աստիճանը տարբեր մասերում տարբեր է՝ միջինից ցածր, միջին, միջինից բարձր։ Տարածքը պարսպապատ է, ունի բարեկարգ բակ` կանաչապատ, պտղատու այգով: Անշարժ գույքի տարածքը ունի ավտոմեքենաների մուտք Արշակունյաց պողոտայի երկայնքով տեղակայված շենքի աջակողմյան հատվածով դեպի ներս գնացող ճանապարհի վերջնամասի ձախակողմյան հատվածից (Արշակունյաց պողոտայից մոտ 150-200մ)։</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Վերը նշված երկու գույքերը սահմանակից են, միմյանցից սահմանազատված չեն, վաճառքի են ներկայացվում որպես մեկ լոտ։ Աճուրդի մեկնարկային գինը՝ 3</w:t>
      </w:r>
      <w:r w:rsidRPr="00D71585">
        <w:rPr>
          <w:rFonts w:ascii="Times New Roman" w:eastAsia="Sylfaen" w:hAnsi="Times New Roman" w:cs="Times New Roman"/>
          <w:bCs/>
          <w:sz w:val="20"/>
          <w:szCs w:val="20"/>
          <w:lang w:val="hy-AM"/>
        </w:rPr>
        <w:t>․</w:t>
      </w:r>
      <w:r w:rsidRPr="00D71585">
        <w:rPr>
          <w:rFonts w:ascii="Sylfaen" w:eastAsia="Sylfaen" w:hAnsi="Sylfaen"/>
          <w:bCs/>
          <w:sz w:val="20"/>
          <w:szCs w:val="20"/>
          <w:lang w:val="hy-AM"/>
        </w:rPr>
        <w:t>540</w:t>
      </w:r>
      <w:r w:rsidRPr="00D71585">
        <w:rPr>
          <w:rFonts w:ascii="Times New Roman" w:eastAsia="Sylfaen" w:hAnsi="Times New Roman" w:cs="Times New Roman"/>
          <w:bCs/>
          <w:sz w:val="20"/>
          <w:szCs w:val="20"/>
          <w:lang w:val="hy-AM"/>
        </w:rPr>
        <w:t>․</w:t>
      </w:r>
      <w:r w:rsidRPr="00D71585">
        <w:rPr>
          <w:rFonts w:ascii="Sylfaen" w:eastAsia="Sylfaen" w:hAnsi="Sylfaen"/>
          <w:bCs/>
          <w:sz w:val="20"/>
          <w:szCs w:val="20"/>
          <w:lang w:val="hy-AM"/>
        </w:rPr>
        <w:t>715</w:t>
      </w:r>
      <w:r w:rsidRPr="00D71585">
        <w:rPr>
          <w:rFonts w:ascii="Times New Roman" w:eastAsia="Sylfaen" w:hAnsi="Times New Roman" w:cs="Times New Roman"/>
          <w:bCs/>
          <w:sz w:val="20"/>
          <w:szCs w:val="20"/>
          <w:lang w:val="hy-AM"/>
        </w:rPr>
        <w:t>․</w:t>
      </w:r>
      <w:r w:rsidRPr="00D71585">
        <w:rPr>
          <w:rFonts w:ascii="Sylfaen" w:eastAsia="Sylfaen" w:hAnsi="Sylfaen"/>
          <w:bCs/>
          <w:sz w:val="20"/>
          <w:szCs w:val="20"/>
          <w:lang w:val="hy-AM"/>
        </w:rPr>
        <w:t>900 ՀՀ դրամ։</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 xml:space="preserve">Աճուրդին մասնակցել ցանկացողները սույն հայտարարության հրապարակման օրվանից մինչև հայտի ներկայացման վերջնաժամկետը՝ 08.07.2026թ.՝ ժամը 18:00, կարող են կանոնակարգով սահմանված կարգով հայտ ներկայացնել սնանկության դատարան՝ ք.Երևան, Օտյան 53/2 հասցեով: Հայտում այլ դրույթներից բացի պարտադիր նշվում է հայտատուի էլեկտրոնային փոստի հասցեն, և հայտատուին ուղղված՝ աճուրդի վերաբերյալ ծանուցումներն իրականացվում են հայտում ներկայացված էլեկտրոնային փոստի հասցեի միջոցով։ Հայտին կից ներկայացվում է աճուրդի մասնակցության վճարի և նախավճարի վճարման </w:t>
      </w:r>
      <w:r w:rsidRPr="00D71585">
        <w:rPr>
          <w:rFonts w:ascii="Sylfaen" w:eastAsia="Sylfaen" w:hAnsi="Sylfaen"/>
          <w:bCs/>
          <w:sz w:val="20"/>
          <w:szCs w:val="20"/>
          <w:lang w:val="hy-AM"/>
        </w:rPr>
        <w:lastRenderedPageBreak/>
        <w:t xml:space="preserve">անդորրագրերը, ֆիզիկական անձինք՝ նաև իրենց անձնագրի պատճենը, իրավաբանական անձինք և անհատ ձեռնարկատերը՝ նաև իրենց պետական գրանցումը հաստատող փաստաթղթերի պատճենները: </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Աճուրդի մասնակցության վճարը լոտի մեկնարկային գնի 1 /մեկ/ տոկոսի չափով (բայց ոչ ավել, քան 300</w:t>
      </w:r>
      <w:r w:rsidRPr="00D71585">
        <w:rPr>
          <w:rFonts w:ascii="Times New Roman" w:eastAsia="Sylfaen" w:hAnsi="Times New Roman" w:cs="Times New Roman"/>
          <w:bCs/>
          <w:sz w:val="20"/>
          <w:szCs w:val="20"/>
          <w:lang w:val="hy-AM"/>
        </w:rPr>
        <w:t>․</w:t>
      </w:r>
      <w:r w:rsidRPr="00D71585">
        <w:rPr>
          <w:rFonts w:ascii="Sylfaen" w:eastAsia="Sylfaen" w:hAnsi="Sylfaen"/>
          <w:bCs/>
          <w:sz w:val="20"/>
          <w:szCs w:val="20"/>
          <w:lang w:val="hy-AM"/>
        </w:rPr>
        <w:t>000,0 դրամ), իսկ նախավճարը՝ 5 /հինգ/ տոկոսի չափով, մինչև հայտի ներկայացման պահը պետք է վճարվեն պարտապանի սնանկության հատուկ դրամային հաշվին («Արմսվիսբանկ» ՓԲԸ, 2500011601351800)՝ որպես ստացող նշելով «Քեթրին Գրուպ» ՍՊԸ-ի սնանկության գործով կառավարիչ Տիգրան Սահակյան:</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Հայտի ներկայացմանն առնչվող հարցերը, աճուրդի անցկացման և աճուրդի արդյունքներով պայմանա¬վոր-ված հարաբերություն¬ները կանոնակարգվում են աճուրդի կանոնակարգով (տես կանոնակարգի 6-9 կետերը):</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Հայտը համարվում է աճուրդի կանոնակարգի խախտմամբ ներկայացված, և այն ներկայացնող հայտատուն աճուրդին մասնակցելու իրավունք չի ստանում և որպես աճուրդի մասնակից չի գրանցվում կանոնակարգի 18-րդ կետով նախատեսված դեպքում։</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Հայտատուների գրանցումը սկսվում է աճուրդից 15 րոպե առաջ։ Հայտատուն (նրա ներկայացուցիչը) պարտավոր է գրանցվելու համար կառավարչին ներկայացնել իր լիազորությունները հաստատող փաստաթուղթը (եթե հայտատուի անունից հանդես է գալիս լիազորություն ունեցող անձը) և իր անձնագիրը։</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 xml:space="preserve">Հայտի ձևը, աճուրդի կանոնակարգը, հաղթողի կողմից ստորագրման ենթակա՝ աճուրդի արդյունքների մասին արձանագրության օրինակը կարող եք ստանալ հետևյալ հղումով. https://cloud.mail.ru/public/MBc8/pXxYV2UeQ, կամ աճուրդի օրը՝ աճուրդի կազմակերպչից (սնանկության գործով կառավարչից)՝ աճուրդն սկսվելուց առաջ՝ աճուրդի անցկացման վայրում: </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 xml:space="preserve">Լոտի աճուրդում հաղթող է համարվում առավել բարձր գին առաջարկած մասնակիցը։ Աճուրդի հաղթողը (այդ թվում՝ հարկային գործակալը) լոտի վաճառքի գինը պարտավոր է ամբողջությամբ վճարել աճուրդի օրվանից հետո՝ 10 օրվա ընթացքում: </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 xml:space="preserve">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 (եթե այդպիսիք առաջանում են)։ </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Աճուրդին մասնակցելու, առուվաճառքի պայմանագրի կնքման,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p>
    <w:p w:rsidR="00D71585" w:rsidRPr="00D71585" w:rsidRDefault="00D71585" w:rsidP="00D71585">
      <w:pPr>
        <w:spacing w:after="0" w:line="240" w:lineRule="auto"/>
        <w:jc w:val="both"/>
        <w:rPr>
          <w:rFonts w:ascii="Sylfaen" w:eastAsia="Sylfaen" w:hAnsi="Sylfaen"/>
          <w:bCs/>
          <w:sz w:val="20"/>
          <w:szCs w:val="20"/>
          <w:lang w:val="hy-AM"/>
        </w:rPr>
      </w:pPr>
      <w:r w:rsidRPr="00D71585">
        <w:rPr>
          <w:rFonts w:ascii="Sylfaen" w:eastAsia="Sylfaen" w:hAnsi="Sylfaen"/>
          <w:bCs/>
          <w:sz w:val="20"/>
          <w:szCs w:val="20"/>
          <w:lang w:val="hy-AM"/>
        </w:rPr>
        <w:t>Լոտը կարելի է ուսումնասիրել սույն հայտարարության հրապարակման օրվանից 10 օրվա ընթացքում, աշխատանքային օրերին և ժամերին՝ դրա գտնվելու վայրում՝ նախապես պայմանավորվելով կառավարչի հետ:</w:t>
      </w:r>
    </w:p>
    <w:p w:rsidR="00165C71" w:rsidRPr="00D71585" w:rsidRDefault="00D71585" w:rsidP="00D71585">
      <w:pPr>
        <w:spacing w:after="0" w:line="240" w:lineRule="auto"/>
        <w:jc w:val="both"/>
        <w:rPr>
          <w:lang w:val="hy-AM"/>
        </w:rPr>
      </w:pPr>
      <w:r w:rsidRPr="00D71585">
        <w:rPr>
          <w:rFonts w:ascii="Sylfaen" w:eastAsia="Sylfaen" w:hAnsi="Sylfaen"/>
          <w:bCs/>
          <w:sz w:val="20"/>
          <w:szCs w:val="20"/>
          <w:lang w:val="hy-AM"/>
        </w:rPr>
        <w:t>Կառավարչի հետ պայմանավորվելու, լոտերի մասին տեղեկություններ ստանալու և աճուրդին առնչվող ցանկացած այլ հարցով կարող եք փոստով կամ էլեկտրոնային փոստով (mailbox4manager@gmail.com) նամակ գրել սնանկության գործով կառավարչին։</w:t>
      </w:r>
    </w:p>
    <w:sectPr w:rsidR="00165C71" w:rsidRPr="00D71585" w:rsidSect="00654A79">
      <w:pgSz w:w="12240" w:h="15840"/>
      <w:pgMar w:top="709" w:right="104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A2"/>
    <w:rsid w:val="00030024"/>
    <w:rsid w:val="00032028"/>
    <w:rsid w:val="00037F14"/>
    <w:rsid w:val="00051DA4"/>
    <w:rsid w:val="00084BD6"/>
    <w:rsid w:val="0009794B"/>
    <w:rsid w:val="000A4224"/>
    <w:rsid w:val="000B054A"/>
    <w:rsid w:val="000B0574"/>
    <w:rsid w:val="000B0D64"/>
    <w:rsid w:val="000C5435"/>
    <w:rsid w:val="000F5FCF"/>
    <w:rsid w:val="00100A1A"/>
    <w:rsid w:val="0010699D"/>
    <w:rsid w:val="00121676"/>
    <w:rsid w:val="0012212C"/>
    <w:rsid w:val="001231D5"/>
    <w:rsid w:val="00125BBC"/>
    <w:rsid w:val="00155F36"/>
    <w:rsid w:val="001634B7"/>
    <w:rsid w:val="00165C71"/>
    <w:rsid w:val="001A278D"/>
    <w:rsid w:val="001A3428"/>
    <w:rsid w:val="001A4A34"/>
    <w:rsid w:val="001B03BB"/>
    <w:rsid w:val="001B322C"/>
    <w:rsid w:val="001B6C41"/>
    <w:rsid w:val="001D7025"/>
    <w:rsid w:val="001F3CF4"/>
    <w:rsid w:val="001F4543"/>
    <w:rsid w:val="001F6790"/>
    <w:rsid w:val="002062F4"/>
    <w:rsid w:val="00232D35"/>
    <w:rsid w:val="00233DF3"/>
    <w:rsid w:val="0024392B"/>
    <w:rsid w:val="0024609B"/>
    <w:rsid w:val="00247705"/>
    <w:rsid w:val="002B1652"/>
    <w:rsid w:val="002D25F7"/>
    <w:rsid w:val="002D43E6"/>
    <w:rsid w:val="002F4B05"/>
    <w:rsid w:val="002F6B9D"/>
    <w:rsid w:val="00303BD1"/>
    <w:rsid w:val="00310195"/>
    <w:rsid w:val="003200EE"/>
    <w:rsid w:val="00337FA0"/>
    <w:rsid w:val="0035090B"/>
    <w:rsid w:val="00354697"/>
    <w:rsid w:val="003549B4"/>
    <w:rsid w:val="003613D6"/>
    <w:rsid w:val="003650CB"/>
    <w:rsid w:val="003740D4"/>
    <w:rsid w:val="00384D8D"/>
    <w:rsid w:val="003B3D62"/>
    <w:rsid w:val="003E7D5F"/>
    <w:rsid w:val="003F7909"/>
    <w:rsid w:val="004329D8"/>
    <w:rsid w:val="00432F92"/>
    <w:rsid w:val="00441210"/>
    <w:rsid w:val="0044354E"/>
    <w:rsid w:val="00446652"/>
    <w:rsid w:val="00450A57"/>
    <w:rsid w:val="00452C90"/>
    <w:rsid w:val="004A17A7"/>
    <w:rsid w:val="004F0994"/>
    <w:rsid w:val="005144EA"/>
    <w:rsid w:val="005211BF"/>
    <w:rsid w:val="00542707"/>
    <w:rsid w:val="0054427B"/>
    <w:rsid w:val="005611B9"/>
    <w:rsid w:val="005636B3"/>
    <w:rsid w:val="005716D6"/>
    <w:rsid w:val="005816BD"/>
    <w:rsid w:val="00590E8F"/>
    <w:rsid w:val="005C01DB"/>
    <w:rsid w:val="005C678A"/>
    <w:rsid w:val="005F2F67"/>
    <w:rsid w:val="00600786"/>
    <w:rsid w:val="0060682C"/>
    <w:rsid w:val="006215BC"/>
    <w:rsid w:val="00642B02"/>
    <w:rsid w:val="006474BB"/>
    <w:rsid w:val="00654A79"/>
    <w:rsid w:val="0069516C"/>
    <w:rsid w:val="00696430"/>
    <w:rsid w:val="006A2AEE"/>
    <w:rsid w:val="006A65AD"/>
    <w:rsid w:val="006B3335"/>
    <w:rsid w:val="006B4EA2"/>
    <w:rsid w:val="006C3A23"/>
    <w:rsid w:val="006C4180"/>
    <w:rsid w:val="006D1B24"/>
    <w:rsid w:val="006E0CB2"/>
    <w:rsid w:val="006E6E15"/>
    <w:rsid w:val="00702266"/>
    <w:rsid w:val="00705728"/>
    <w:rsid w:val="0071331E"/>
    <w:rsid w:val="00764272"/>
    <w:rsid w:val="007649F0"/>
    <w:rsid w:val="00765485"/>
    <w:rsid w:val="00782771"/>
    <w:rsid w:val="00793DE9"/>
    <w:rsid w:val="007A25D1"/>
    <w:rsid w:val="007B07DC"/>
    <w:rsid w:val="007B2C02"/>
    <w:rsid w:val="007B46FA"/>
    <w:rsid w:val="007C095F"/>
    <w:rsid w:val="007C4145"/>
    <w:rsid w:val="007D70E0"/>
    <w:rsid w:val="007E2784"/>
    <w:rsid w:val="007E772C"/>
    <w:rsid w:val="007F1CA6"/>
    <w:rsid w:val="00817326"/>
    <w:rsid w:val="008207D5"/>
    <w:rsid w:val="00841DC7"/>
    <w:rsid w:val="00855310"/>
    <w:rsid w:val="00860DE7"/>
    <w:rsid w:val="00865074"/>
    <w:rsid w:val="008716A2"/>
    <w:rsid w:val="00876663"/>
    <w:rsid w:val="008800C0"/>
    <w:rsid w:val="00896225"/>
    <w:rsid w:val="008B7214"/>
    <w:rsid w:val="008D521B"/>
    <w:rsid w:val="008F3533"/>
    <w:rsid w:val="00905A83"/>
    <w:rsid w:val="009066CB"/>
    <w:rsid w:val="00907713"/>
    <w:rsid w:val="00926831"/>
    <w:rsid w:val="009554FC"/>
    <w:rsid w:val="00961723"/>
    <w:rsid w:val="009752B7"/>
    <w:rsid w:val="009828E4"/>
    <w:rsid w:val="009867A7"/>
    <w:rsid w:val="009B0538"/>
    <w:rsid w:val="009E1C0B"/>
    <w:rsid w:val="009E5F34"/>
    <w:rsid w:val="009F61CB"/>
    <w:rsid w:val="00A06644"/>
    <w:rsid w:val="00A54C6C"/>
    <w:rsid w:val="00A96141"/>
    <w:rsid w:val="00AA60B5"/>
    <w:rsid w:val="00AA7A38"/>
    <w:rsid w:val="00AB730F"/>
    <w:rsid w:val="00B0006C"/>
    <w:rsid w:val="00B169D5"/>
    <w:rsid w:val="00B33D23"/>
    <w:rsid w:val="00B51DC8"/>
    <w:rsid w:val="00B73A90"/>
    <w:rsid w:val="00B932AE"/>
    <w:rsid w:val="00BC14AA"/>
    <w:rsid w:val="00BC26F1"/>
    <w:rsid w:val="00BD4482"/>
    <w:rsid w:val="00BE721B"/>
    <w:rsid w:val="00BF7B53"/>
    <w:rsid w:val="00C10C4B"/>
    <w:rsid w:val="00C12896"/>
    <w:rsid w:val="00C24D4F"/>
    <w:rsid w:val="00C2711A"/>
    <w:rsid w:val="00C33253"/>
    <w:rsid w:val="00C457EA"/>
    <w:rsid w:val="00C56239"/>
    <w:rsid w:val="00CD5C78"/>
    <w:rsid w:val="00CE7A4C"/>
    <w:rsid w:val="00CF05A5"/>
    <w:rsid w:val="00D23BBD"/>
    <w:rsid w:val="00D401AC"/>
    <w:rsid w:val="00D71585"/>
    <w:rsid w:val="00D7553B"/>
    <w:rsid w:val="00D94DF3"/>
    <w:rsid w:val="00DE2A74"/>
    <w:rsid w:val="00E139F7"/>
    <w:rsid w:val="00E2395F"/>
    <w:rsid w:val="00E2590E"/>
    <w:rsid w:val="00E5776F"/>
    <w:rsid w:val="00E81531"/>
    <w:rsid w:val="00E85FC6"/>
    <w:rsid w:val="00E87112"/>
    <w:rsid w:val="00EB1E9B"/>
    <w:rsid w:val="00EB4958"/>
    <w:rsid w:val="00EB590F"/>
    <w:rsid w:val="00EC3234"/>
    <w:rsid w:val="00EC567D"/>
    <w:rsid w:val="00EC5D4E"/>
    <w:rsid w:val="00F46A85"/>
    <w:rsid w:val="00F85713"/>
    <w:rsid w:val="00FA5517"/>
    <w:rsid w:val="00FB03B7"/>
    <w:rsid w:val="00FC71F6"/>
    <w:rsid w:val="00FD3378"/>
    <w:rsid w:val="00FD62EC"/>
    <w:rsid w:val="00FE0CBE"/>
    <w:rsid w:val="00FE67B3"/>
    <w:rsid w:val="00FE67CE"/>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CBCEB-1A69-4FFA-B669-0AE1008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7EA"/>
    <w:pPr>
      <w:spacing w:after="200" w:line="276" w:lineRule="auto"/>
    </w:pPr>
    <w:rPr>
      <w:rFonts w:ascii="Calibri" w:eastAsia="Calibri" w:hAnsi="Calibri" w:cs="Arial LatArm"/>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57EA"/>
    <w:rPr>
      <w:color w:val="0000FF"/>
      <w:u w:val="single"/>
    </w:rPr>
  </w:style>
  <w:style w:type="character" w:styleId="a4">
    <w:name w:val="Strong"/>
    <w:basedOn w:val="a0"/>
    <w:uiPriority w:val="22"/>
    <w:qFormat/>
    <w:rsid w:val="00C457EA"/>
    <w:rPr>
      <w:b/>
      <w:bCs/>
    </w:rPr>
  </w:style>
  <w:style w:type="paragraph" w:styleId="2">
    <w:name w:val="Body Text Indent 2"/>
    <w:basedOn w:val="a"/>
    <w:link w:val="20"/>
    <w:unhideWhenUsed/>
    <w:rsid w:val="00432F92"/>
    <w:pPr>
      <w:numPr>
        <w:ilvl w:val="12"/>
      </w:numPr>
      <w:spacing w:after="0" w:line="240" w:lineRule="auto"/>
      <w:ind w:left="284" w:hanging="14"/>
      <w:jc w:val="both"/>
    </w:pPr>
    <w:rPr>
      <w:rFonts w:ascii="Arial LatArm" w:eastAsia="Times New Roman" w:hAnsi="Arial LatArm" w:cs="Times New Roman"/>
      <w:sz w:val="20"/>
      <w:szCs w:val="20"/>
      <w:lang w:val="en-US"/>
    </w:rPr>
  </w:style>
  <w:style w:type="character" w:customStyle="1" w:styleId="20">
    <w:name w:val="Основной текст с отступом 2 Знак"/>
    <w:basedOn w:val="a0"/>
    <w:link w:val="2"/>
    <w:rsid w:val="00432F92"/>
    <w:rPr>
      <w:rFonts w:ascii="Arial LatArm" w:eastAsia="Times New Roman" w:hAnsi="Arial LatArm" w:cs="Times New Roman"/>
      <w:sz w:val="20"/>
      <w:szCs w:val="20"/>
    </w:rPr>
  </w:style>
  <w:style w:type="paragraph" w:styleId="a5">
    <w:name w:val="Balloon Text"/>
    <w:basedOn w:val="a"/>
    <w:link w:val="a6"/>
    <w:uiPriority w:val="99"/>
    <w:semiHidden/>
    <w:unhideWhenUsed/>
    <w:rsid w:val="00165C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5C71"/>
    <w:rPr>
      <w:rFonts w:ascii="Segoe UI" w:eastAsia="Calibri" w:hAnsi="Segoe UI" w:cs="Segoe UI"/>
      <w:sz w:val="18"/>
      <w:szCs w:val="18"/>
      <w:lang w:val="ru-RU"/>
    </w:rPr>
  </w:style>
  <w:style w:type="paragraph" w:styleId="a7">
    <w:name w:val="Normal (Web)"/>
    <w:basedOn w:val="a"/>
    <w:uiPriority w:val="99"/>
    <w:unhideWhenUsed/>
    <w:rsid w:val="00B169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
    <w:name w:val="comm"/>
    <w:basedOn w:val="a"/>
    <w:rsid w:val="00B169D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8">
    <w:name w:val="Table Grid"/>
    <w:basedOn w:val="a1"/>
    <w:uiPriority w:val="59"/>
    <w:rsid w:val="002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25873">
      <w:bodyDiv w:val="1"/>
      <w:marLeft w:val="0"/>
      <w:marRight w:val="0"/>
      <w:marTop w:val="0"/>
      <w:marBottom w:val="0"/>
      <w:divBdr>
        <w:top w:val="none" w:sz="0" w:space="0" w:color="auto"/>
        <w:left w:val="none" w:sz="0" w:space="0" w:color="auto"/>
        <w:bottom w:val="none" w:sz="0" w:space="0" w:color="auto"/>
        <w:right w:val="none" w:sz="0" w:space="0" w:color="auto"/>
      </w:divBdr>
    </w:div>
    <w:div w:id="721713858">
      <w:bodyDiv w:val="1"/>
      <w:marLeft w:val="0"/>
      <w:marRight w:val="0"/>
      <w:marTop w:val="0"/>
      <w:marBottom w:val="0"/>
      <w:divBdr>
        <w:top w:val="none" w:sz="0" w:space="0" w:color="auto"/>
        <w:left w:val="none" w:sz="0" w:space="0" w:color="auto"/>
        <w:bottom w:val="none" w:sz="0" w:space="0" w:color="auto"/>
        <w:right w:val="none" w:sz="0" w:space="0" w:color="auto"/>
      </w:divBdr>
    </w:div>
    <w:div w:id="999037219">
      <w:bodyDiv w:val="1"/>
      <w:marLeft w:val="0"/>
      <w:marRight w:val="0"/>
      <w:marTop w:val="0"/>
      <w:marBottom w:val="0"/>
      <w:divBdr>
        <w:top w:val="none" w:sz="0" w:space="0" w:color="auto"/>
        <w:left w:val="none" w:sz="0" w:space="0" w:color="auto"/>
        <w:bottom w:val="none" w:sz="0" w:space="0" w:color="auto"/>
        <w:right w:val="none" w:sz="0" w:space="0" w:color="auto"/>
      </w:divBdr>
    </w:div>
    <w:div w:id="1578202410">
      <w:bodyDiv w:val="1"/>
      <w:marLeft w:val="0"/>
      <w:marRight w:val="0"/>
      <w:marTop w:val="0"/>
      <w:marBottom w:val="0"/>
      <w:divBdr>
        <w:top w:val="none" w:sz="0" w:space="0" w:color="auto"/>
        <w:left w:val="none" w:sz="0" w:space="0" w:color="auto"/>
        <w:bottom w:val="none" w:sz="0" w:space="0" w:color="auto"/>
        <w:right w:val="none" w:sz="0" w:space="0" w:color="auto"/>
      </w:divBdr>
    </w:div>
    <w:div w:id="1751006223">
      <w:bodyDiv w:val="1"/>
      <w:marLeft w:val="0"/>
      <w:marRight w:val="0"/>
      <w:marTop w:val="0"/>
      <w:marBottom w:val="0"/>
      <w:divBdr>
        <w:top w:val="none" w:sz="0" w:space="0" w:color="auto"/>
        <w:left w:val="none" w:sz="0" w:space="0" w:color="auto"/>
        <w:bottom w:val="none" w:sz="0" w:space="0" w:color="auto"/>
        <w:right w:val="none" w:sz="0" w:space="0" w:color="auto"/>
      </w:divBdr>
    </w:div>
    <w:div w:id="1877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dc:creator>
  <cp:keywords/>
  <dc:description/>
  <cp:lastModifiedBy>Tigran</cp:lastModifiedBy>
  <cp:revision>190</cp:revision>
  <cp:lastPrinted>2024-03-01T11:14:00Z</cp:lastPrinted>
  <dcterms:created xsi:type="dcterms:W3CDTF">2024-02-07T13:56:00Z</dcterms:created>
  <dcterms:modified xsi:type="dcterms:W3CDTF">2026-06-25T10:57:00Z</dcterms:modified>
</cp:coreProperties>
</file>